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62FF3" w14:textId="77777777" w:rsidR="00382B49" w:rsidRPr="000A0048" w:rsidRDefault="00F16F98" w:rsidP="004104B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0048">
        <w:rPr>
          <w:rFonts w:ascii="Times New Roman" w:hAnsi="Times New Roman" w:cs="Times New Roman"/>
          <w:b/>
          <w:sz w:val="24"/>
          <w:szCs w:val="24"/>
          <w:lang w:val="en-US"/>
        </w:rPr>
        <w:t>CURRICULUM VITAE</w:t>
      </w:r>
    </w:p>
    <w:p w14:paraId="341A406A" w14:textId="5DA1E8BB" w:rsidR="00382B49" w:rsidRPr="000A0048" w:rsidRDefault="00F16F98" w:rsidP="00382B4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00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recruitment to the position of </w:t>
      </w:r>
      <w:r w:rsidR="00465359" w:rsidRPr="000A00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legal/representative/administrative </w:t>
      </w:r>
      <w:r w:rsidR="00365AB1" w:rsidRPr="000A0048">
        <w:rPr>
          <w:rFonts w:ascii="Times New Roman" w:hAnsi="Times New Roman" w:cs="Times New Roman"/>
          <w:b/>
          <w:sz w:val="24"/>
          <w:szCs w:val="24"/>
          <w:lang w:val="en-US"/>
        </w:rPr>
        <w:t>nature</w:t>
      </w:r>
    </w:p>
    <w:p w14:paraId="6E25F2C1" w14:textId="77777777" w:rsidR="006F0AFE" w:rsidRPr="000A0048" w:rsidRDefault="006F0AFE" w:rsidP="004104B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8784"/>
        <w:gridCol w:w="1701"/>
      </w:tblGrid>
      <w:tr w:rsidR="006F0AFE" w:rsidRPr="000A0048" w14:paraId="0A812A96" w14:textId="77777777" w:rsidTr="0077073E">
        <w:trPr>
          <w:trHeight w:val="567"/>
        </w:trPr>
        <w:tc>
          <w:tcPr>
            <w:tcW w:w="8784" w:type="dxa"/>
          </w:tcPr>
          <w:p w14:paraId="40DEC48F" w14:textId="77777777" w:rsidR="00382B49" w:rsidRPr="000A0048" w:rsidRDefault="00F16F98" w:rsidP="00022C5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0A004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Kaloidis Dimitrios</w:t>
            </w:r>
          </w:p>
          <w:p w14:paraId="3D2771E6" w14:textId="77777777" w:rsidR="00AC22BB" w:rsidRPr="000A0048" w:rsidRDefault="00F16F98" w:rsidP="00022C5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birth</w:t>
            </w:r>
            <w:r w:rsidR="00382B49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C22BB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19.06.1973</w:t>
            </w:r>
          </w:p>
          <w:p w14:paraId="2D495721" w14:textId="77777777" w:rsidR="00AC22BB" w:rsidRPr="000A0048" w:rsidRDefault="00F16F98" w:rsidP="00022C5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Mobile phone</w:t>
            </w:r>
            <w:r w:rsidR="00382B49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6907727480</w:t>
            </w:r>
            <w:r w:rsidR="00421704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382B49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0575lavr@gmail.com</w:t>
            </w:r>
            <w:r w:rsidR="00AC22BB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1A046E8" w14:textId="77777777" w:rsidR="00AC22BB" w:rsidRPr="000A0048" w:rsidRDefault="00BC098C" w:rsidP="00022C5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Address: N.</w:t>
            </w:r>
            <w:r w:rsidR="00382B49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6F98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Tripia 1-3, Municipality of Nea Halkidona</w:t>
            </w:r>
            <w:r w:rsidR="00382B49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16F98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 Filadelfia (</w:t>
            </w:r>
            <w:r w:rsidR="00984CC8" w:rsidRPr="000A004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="00F16F98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ttica region</w:t>
            </w:r>
            <w:r w:rsidR="00364635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Greece</w:t>
            </w:r>
            <w:r w:rsidR="00F16F98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2CCD1BC8" w14:textId="7AD74E48" w:rsidR="0020439C" w:rsidRPr="000A0048" w:rsidRDefault="00F16F98" w:rsidP="002043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="00DB5E46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experience</w:t>
            </w:r>
            <w:r w:rsidR="004104B6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0439C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5DB2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</w:t>
            </w: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073E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382B49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years</w:t>
            </w:r>
          </w:p>
          <w:p w14:paraId="53AF97E7" w14:textId="77777777" w:rsidR="002349C4" w:rsidRPr="000A0048" w:rsidRDefault="004C1C90" w:rsidP="004C1C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Graduate of the Kuban State University (Krasnodar, Russia): Faculty of Law (the diploma is </w:t>
            </w:r>
            <w:r w:rsidRPr="000A0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</w:t>
            </w: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recognized by DOATAP as</w:t>
            </w:r>
            <w:r w:rsidRPr="000A0048">
              <w:rPr>
                <w:sz w:val="24"/>
                <w:szCs w:val="24"/>
                <w:lang w:val="en-US"/>
              </w:rPr>
              <w:t xml:space="preserve"> </w:t>
            </w: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equivalent) and Faculty of Romance and Germanic Philology (Department of Modern Greek and English Languages (degree is </w:t>
            </w:r>
            <w:r w:rsidRPr="000A0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recognized</w:t>
            </w: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DOATAP as equivalent)</w:t>
            </w:r>
            <w:r w:rsidR="0034060C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1263675E" w14:textId="77777777" w:rsidR="00AC22BB" w:rsidRPr="000A0048" w:rsidRDefault="00AC22BB" w:rsidP="0002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0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FED6C1" wp14:editId="461A2885">
                  <wp:extent cx="934720" cy="108758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251" cy="1111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4B8121" w14:textId="77777777" w:rsidR="00AC22BB" w:rsidRPr="000A0048" w:rsidRDefault="00AC22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650"/>
        <w:gridCol w:w="2977"/>
      </w:tblGrid>
      <w:tr w:rsidR="00447E75" w:rsidRPr="000A0048" w14:paraId="5E029720" w14:textId="77777777" w:rsidTr="00263EA9">
        <w:trPr>
          <w:trHeight w:val="9594"/>
        </w:trPr>
        <w:tc>
          <w:tcPr>
            <w:tcW w:w="7650" w:type="dxa"/>
          </w:tcPr>
          <w:p w14:paraId="23A59127" w14:textId="77777777" w:rsidR="00F6613E" w:rsidRPr="000A0048" w:rsidRDefault="007456A0" w:rsidP="00F6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Basic professional data</w:t>
            </w:r>
          </w:p>
          <w:p w14:paraId="1BCBE9E1" w14:textId="25CEC690" w:rsidR="007456A0" w:rsidRPr="000A0048" w:rsidRDefault="006763B3" w:rsidP="00123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7456A0" w:rsidRPr="000A0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ignificant </w:t>
            </w:r>
            <w:r w:rsidR="007456A0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 and professional experience in the field of Russian business law (construction sector, cargo transportation, shipping agency, cargo agency, hotel service and catering</w:t>
            </w:r>
            <w:r w:rsidR="006F3105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A51FF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property </w:t>
            </w:r>
            <w:r w:rsidR="006F3105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="007456A0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In detail: </w:t>
            </w:r>
          </w:p>
          <w:p w14:paraId="78D827AA" w14:textId="4B596011" w:rsidR="006009DF" w:rsidRPr="000A0048" w:rsidRDefault="004A6DC4" w:rsidP="00123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7456A0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contractual work (collection and study of the potential counterparties’ data, drawing up drafts of the contracts</w:t>
            </w:r>
            <w:r w:rsidR="00C2396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supplementary agreements to them</w:t>
            </w:r>
            <w:r w:rsidR="007456A0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dispute settlement practices, </w:t>
            </w:r>
            <w:r w:rsidR="00C2396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collection and sending </w:t>
            </w:r>
            <w:r w:rsidR="007456A0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documents necessary for the</w:t>
            </w:r>
            <w:r w:rsidR="00C2396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conclusion of the contracts, </w:t>
            </w:r>
            <w:r w:rsidR="007456A0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 of the Contract Archive)</w:t>
            </w:r>
            <w:r w:rsidR="00C2396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776972D" w14:textId="77777777" w:rsidR="00C23963" w:rsidRPr="000A0048" w:rsidRDefault="006009DF" w:rsidP="00123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C2396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participation in the ensuring of the execution of the company’s contractual and non-contractual obligations by drawing up authorizations, proxies, instructions, etc., </w:t>
            </w:r>
            <w:r w:rsidR="002706C5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B925AE9" w14:textId="77777777" w:rsidR="006009DF" w:rsidRPr="000A0048" w:rsidRDefault="006009DF" w:rsidP="00123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C2396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legal defense of the company’s rights and interests in arbitration (economic) courts and in courts of general jurisdiction, in administrative authorities (preparation and sending of pre-trial requests, lawsuits, declarations/requests, complaints, responses to similar documents), </w:t>
            </w:r>
          </w:p>
          <w:p w14:paraId="78B67402" w14:textId="5C051DE9" w:rsidR="006009DF" w:rsidRPr="000A0048" w:rsidRDefault="00E559CB" w:rsidP="00123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C2396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ensuring of the </w:t>
            </w:r>
            <w:r w:rsidR="005648E2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court’s</w:t>
            </w:r>
            <w:r w:rsidR="00C2396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decisions voluntary or compulsory execution</w:t>
            </w:r>
            <w:r w:rsidR="00D54190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A8D68FD" w14:textId="77777777" w:rsidR="006009DF" w:rsidRPr="000A0048" w:rsidRDefault="006009DF" w:rsidP="00123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C2396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establishment of individual businesses, companies, their branches, public registration of amendments to various corporate documents</w:t>
            </w:r>
            <w:r w:rsidR="005B6288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E0179EA" w14:textId="77777777" w:rsidR="006009DF" w:rsidRPr="000A0048" w:rsidRDefault="006009DF" w:rsidP="00123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C2396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receipt by the company approvals, permits</w:t>
            </w:r>
            <w:r w:rsidR="005B6288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2396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licenses, </w:t>
            </w:r>
          </w:p>
          <w:p w14:paraId="49AEF533" w14:textId="77777777" w:rsidR="006009DF" w:rsidRPr="000A0048" w:rsidRDefault="006009DF" w:rsidP="00123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C2396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preparation of the company's internal acts</w:t>
            </w:r>
            <w:r w:rsidR="005B6288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80194A5" w14:textId="07650D81" w:rsidR="006009DF" w:rsidRPr="000A0048" w:rsidRDefault="00123A91" w:rsidP="001513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C2396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legal consultation of the </w:t>
            </w:r>
            <w:r w:rsidR="00951BE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  <w:r w:rsidR="00C2396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’s owners and its staff, including the "productive" </w:t>
            </w:r>
            <w:r w:rsidR="00951BE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one </w:t>
            </w:r>
            <w:r w:rsidR="005648E2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C2396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prevent losses resulting from the non-agreed actions, the analysis of the incidents that led to losses</w:t>
            </w:r>
            <w:r w:rsidR="00165BAC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C2A8B47" w14:textId="77777777" w:rsidR="000441A3" w:rsidRPr="000A0048" w:rsidRDefault="006763B3" w:rsidP="00951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951BE3" w:rsidRPr="000A0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ignificant </w:t>
            </w:r>
            <w:r w:rsidR="00951BE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 and experience in various branches of Russian civil law, the sufficient knowledge of some administrative branches of Greek law (citizenship, municipal registration, military arrangement</w:t>
            </w:r>
            <w:r w:rsidR="00F949F6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real estate</w:t>
            </w:r>
            <w:r w:rsidR="00951BE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experience in drawing up authorizations, consents, proxies</w:t>
            </w:r>
            <w:r w:rsidR="001122C0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FB06617" w14:textId="5917EFCF" w:rsidR="00764991" w:rsidRPr="000A0048" w:rsidRDefault="000856A2" w:rsidP="007707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Significant </w:t>
            </w:r>
            <w:r w:rsidR="00263EA9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 and experience in translation &amp; interpretation</w:t>
            </w:r>
            <w:r w:rsidR="00764991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(Greek-English-Russian) as well as in teaching </w:t>
            </w:r>
            <w:r w:rsidR="00AE2765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Greek language</w:t>
            </w:r>
            <w:r w:rsidR="002602C8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64991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5AC7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 100 translation agencies-partners worldwide.</w:t>
            </w:r>
          </w:p>
        </w:tc>
        <w:tc>
          <w:tcPr>
            <w:tcW w:w="2977" w:type="dxa"/>
          </w:tcPr>
          <w:p w14:paraId="3D496CA1" w14:textId="77777777" w:rsidR="006009DF" w:rsidRPr="000A0048" w:rsidRDefault="00951BE3" w:rsidP="00F6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Additional data</w:t>
            </w:r>
            <w:r w:rsidR="006F0AFE" w:rsidRPr="000A0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44D92206" w14:textId="77777777" w:rsidR="00F6613E" w:rsidRPr="000A0048" w:rsidRDefault="00F6613E" w:rsidP="00F6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8FB093C" w14:textId="77777777" w:rsidR="00951BE3" w:rsidRPr="000A0048" w:rsidRDefault="00F6613E" w:rsidP="00951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51BE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fluent Greek and Russian, advanced English,</w:t>
            </w:r>
          </w:p>
          <w:p w14:paraId="319E2075" w14:textId="7607F121" w:rsidR="00951BE3" w:rsidRPr="000A0048" w:rsidRDefault="00951BE3" w:rsidP="00951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basic computer skills (MS Word, Excel, Power Point, Acces</w:t>
            </w:r>
            <w:r w:rsidR="00303836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Internet Explorer,</w:t>
            </w:r>
          </w:p>
          <w:p w14:paraId="1A50044B" w14:textId="77777777" w:rsidR="00951BE3" w:rsidRPr="000A0048" w:rsidRDefault="006747A1" w:rsidP="00951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51BE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experience in </w:t>
            </w: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951BE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ensuring of the quality management system</w:t>
            </w: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’s</w:t>
            </w:r>
            <w:r w:rsidR="00951BE3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(ISO)</w:t>
            </w: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implementation,</w:t>
            </w:r>
          </w:p>
          <w:p w14:paraId="0AC17848" w14:textId="77777777" w:rsidR="006009DF" w:rsidRPr="000A0048" w:rsidRDefault="006747A1" w:rsidP="006747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-driver's license “B”,</w:t>
            </w:r>
          </w:p>
          <w:p w14:paraId="3B301D20" w14:textId="77777777" w:rsidR="006009DF" w:rsidRPr="000A0048" w:rsidRDefault="006009DF" w:rsidP="00123A9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747A1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citizenship</w:t>
            </w:r>
            <w:r w:rsidR="0015133A" w:rsidRPr="000A0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6747A1" w:rsidRPr="000A0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Greek &amp; Russian</w:t>
            </w:r>
            <w:r w:rsidR="0015133A" w:rsidRPr="000A0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15133A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FDA2C97" w14:textId="77777777" w:rsidR="002158BD" w:rsidRPr="000A0048" w:rsidRDefault="002158BD" w:rsidP="002158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-healthy, without bad habits,</w:t>
            </w:r>
          </w:p>
          <w:p w14:paraId="2FED8023" w14:textId="77777777" w:rsidR="002158BD" w:rsidRPr="000A0048" w:rsidRDefault="002158BD" w:rsidP="002158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-clean criminal record</w:t>
            </w:r>
            <w:r w:rsidR="002822C9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5598C0A" w14:textId="77777777" w:rsidR="002158BD" w:rsidRPr="000A0048" w:rsidRDefault="002158BD" w:rsidP="002158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</w:t>
            </w:r>
            <w:r w:rsidR="002822C9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arried, have a minor daughter,</w:t>
            </w:r>
          </w:p>
          <w:p w14:paraId="16D116A1" w14:textId="77777777" w:rsidR="002158BD" w:rsidRPr="000A0048" w:rsidRDefault="002822C9" w:rsidP="002158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2158BD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no debt of any kind</w:t>
            </w: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158BD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0AE7E02" w14:textId="77777777" w:rsidR="000441A3" w:rsidRPr="000A0048" w:rsidRDefault="000441A3" w:rsidP="000441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---------------------</w:t>
            </w:r>
          </w:p>
          <w:p w14:paraId="6124D317" w14:textId="77777777" w:rsidR="0013612E" w:rsidRPr="000A0048" w:rsidRDefault="0013612E" w:rsidP="00447E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C2F451" w14:textId="7F439F72" w:rsidR="002822C9" w:rsidRPr="000A0048" w:rsidRDefault="002822C9" w:rsidP="002822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1998 to 2009 – junior employee of the Consulate General of Greece in Novorossisk</w:t>
            </w:r>
            <w:r w:rsidR="00C4461E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(started with practically 0 consular services</w:t>
            </w:r>
            <w:r w:rsidR="0039278B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left it with </w:t>
            </w:r>
            <w:r w:rsidR="00622AAE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least </w:t>
            </w:r>
            <w:r w:rsidR="0039278B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622AAE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E23B4E5" w14:textId="77777777" w:rsidR="002822C9" w:rsidRPr="000A0048" w:rsidRDefault="002822C9" w:rsidP="002822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DF9D7D" w14:textId="504A0B4B" w:rsidR="002822C9" w:rsidRPr="000A0048" w:rsidRDefault="002822C9" w:rsidP="002822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2004 till today – individual entrepreneur</w:t>
            </w:r>
            <w:r w:rsidR="00FF7224"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/self-employed</w:t>
            </w: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Russia (legal and translation services)</w:t>
            </w:r>
          </w:p>
          <w:p w14:paraId="07B6C972" w14:textId="77777777" w:rsidR="0077073E" w:rsidRPr="000A0048" w:rsidRDefault="0077073E" w:rsidP="002822C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FA9BE9E" w14:textId="186E3E11" w:rsidR="000441A3" w:rsidRPr="000A0048" w:rsidRDefault="0077073E" w:rsidP="000A00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0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Recognized </w:t>
            </w:r>
            <w:r w:rsidRPr="000A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 Prosecution Office of Athens as an interpreter for civil &amp; criminal procedures.</w:t>
            </w:r>
          </w:p>
        </w:tc>
      </w:tr>
    </w:tbl>
    <w:p w14:paraId="246C9DD7" w14:textId="77777777" w:rsidR="008D613D" w:rsidRPr="000A0048" w:rsidRDefault="008D613D" w:rsidP="00F6613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D613D" w:rsidRPr="000A0048" w:rsidSect="00A94B9A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0A6E64"/>
    <w:multiLevelType w:val="hybridMultilevel"/>
    <w:tmpl w:val="09963E00"/>
    <w:lvl w:ilvl="0" w:tplc="55E214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0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BB"/>
    <w:rsid w:val="000352F0"/>
    <w:rsid w:val="000441A3"/>
    <w:rsid w:val="000856A2"/>
    <w:rsid w:val="000A0048"/>
    <w:rsid w:val="000A53FB"/>
    <w:rsid w:val="000F0D09"/>
    <w:rsid w:val="001122C0"/>
    <w:rsid w:val="00123A91"/>
    <w:rsid w:val="0013612E"/>
    <w:rsid w:val="0015133A"/>
    <w:rsid w:val="00165BAC"/>
    <w:rsid w:val="0020439C"/>
    <w:rsid w:val="002158BD"/>
    <w:rsid w:val="0021726C"/>
    <w:rsid w:val="00226222"/>
    <w:rsid w:val="002341B1"/>
    <w:rsid w:val="002348B8"/>
    <w:rsid w:val="002349C4"/>
    <w:rsid w:val="002602C8"/>
    <w:rsid w:val="00263EA9"/>
    <w:rsid w:val="002706C5"/>
    <w:rsid w:val="00271A23"/>
    <w:rsid w:val="002822C9"/>
    <w:rsid w:val="00286D89"/>
    <w:rsid w:val="002A6682"/>
    <w:rsid w:val="002E2CFF"/>
    <w:rsid w:val="00303836"/>
    <w:rsid w:val="0034060C"/>
    <w:rsid w:val="00364635"/>
    <w:rsid w:val="00365AB1"/>
    <w:rsid w:val="00382B49"/>
    <w:rsid w:val="003911FC"/>
    <w:rsid w:val="0039278B"/>
    <w:rsid w:val="00393C45"/>
    <w:rsid w:val="003A5AC7"/>
    <w:rsid w:val="004104B6"/>
    <w:rsid w:val="00421704"/>
    <w:rsid w:val="00447E75"/>
    <w:rsid w:val="004510B9"/>
    <w:rsid w:val="00465359"/>
    <w:rsid w:val="00482F83"/>
    <w:rsid w:val="00495EA3"/>
    <w:rsid w:val="004A6DC4"/>
    <w:rsid w:val="004C1C90"/>
    <w:rsid w:val="004F09E1"/>
    <w:rsid w:val="00516B81"/>
    <w:rsid w:val="00522B9E"/>
    <w:rsid w:val="005648E2"/>
    <w:rsid w:val="005A2E73"/>
    <w:rsid w:val="005B6288"/>
    <w:rsid w:val="005E3010"/>
    <w:rsid w:val="005F7165"/>
    <w:rsid w:val="006009DF"/>
    <w:rsid w:val="0061299C"/>
    <w:rsid w:val="00622AAE"/>
    <w:rsid w:val="00644D52"/>
    <w:rsid w:val="006747A1"/>
    <w:rsid w:val="006763B3"/>
    <w:rsid w:val="006A51FF"/>
    <w:rsid w:val="006F0AFE"/>
    <w:rsid w:val="006F3105"/>
    <w:rsid w:val="00735E75"/>
    <w:rsid w:val="00740F91"/>
    <w:rsid w:val="007456A0"/>
    <w:rsid w:val="00764991"/>
    <w:rsid w:val="0077073E"/>
    <w:rsid w:val="00791473"/>
    <w:rsid w:val="007B34C3"/>
    <w:rsid w:val="007F6B83"/>
    <w:rsid w:val="00850ABB"/>
    <w:rsid w:val="00877A4B"/>
    <w:rsid w:val="008D613D"/>
    <w:rsid w:val="00951BE3"/>
    <w:rsid w:val="00984CC8"/>
    <w:rsid w:val="00992BD2"/>
    <w:rsid w:val="009E144C"/>
    <w:rsid w:val="00A127C2"/>
    <w:rsid w:val="00A63FBB"/>
    <w:rsid w:val="00A94B9A"/>
    <w:rsid w:val="00AC22BB"/>
    <w:rsid w:val="00AC45B1"/>
    <w:rsid w:val="00AE2765"/>
    <w:rsid w:val="00AF367E"/>
    <w:rsid w:val="00B66517"/>
    <w:rsid w:val="00BC098C"/>
    <w:rsid w:val="00BE2F7F"/>
    <w:rsid w:val="00C02672"/>
    <w:rsid w:val="00C23963"/>
    <w:rsid w:val="00C4461E"/>
    <w:rsid w:val="00C75DB2"/>
    <w:rsid w:val="00C923A5"/>
    <w:rsid w:val="00D15F54"/>
    <w:rsid w:val="00D54190"/>
    <w:rsid w:val="00DB5E46"/>
    <w:rsid w:val="00DC45F7"/>
    <w:rsid w:val="00E46FB0"/>
    <w:rsid w:val="00E559CB"/>
    <w:rsid w:val="00EC6FDB"/>
    <w:rsid w:val="00EC78CA"/>
    <w:rsid w:val="00F16F98"/>
    <w:rsid w:val="00F6613E"/>
    <w:rsid w:val="00F82F38"/>
    <w:rsid w:val="00F949F6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4602"/>
  <w15:chartTrackingRefBased/>
  <w15:docId w15:val="{CE32F8F2-159F-4295-BA13-6CBE0404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C22BB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AC2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C22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44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Dimitrios Kaloidis</cp:lastModifiedBy>
  <cp:revision>67</cp:revision>
  <dcterms:created xsi:type="dcterms:W3CDTF">2022-08-22T05:53:00Z</dcterms:created>
  <dcterms:modified xsi:type="dcterms:W3CDTF">2024-09-04T12:36:00Z</dcterms:modified>
</cp:coreProperties>
</file>